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41" w:rsidRDefault="004E6441" w:rsidP="004E6441">
      <w:pPr>
        <w:pStyle w:val="a4"/>
        <w:tabs>
          <w:tab w:val="left" w:pos="8662"/>
        </w:tabs>
        <w:ind w:right="-1"/>
        <w:jc w:val="both"/>
        <w:rPr>
          <w:rFonts w:ascii="Times New Roman" w:hAnsi="Times New Roman"/>
          <w:lang w:val="en-US"/>
        </w:rPr>
      </w:pPr>
    </w:p>
    <w:p w:rsidR="004E6441" w:rsidRDefault="004E6441" w:rsidP="004E6441">
      <w:pPr>
        <w:pStyle w:val="a4"/>
        <w:tabs>
          <w:tab w:val="left" w:pos="8662"/>
        </w:tabs>
        <w:ind w:right="-1"/>
        <w:jc w:val="both"/>
        <w:rPr>
          <w:rFonts w:ascii="Times New Roman" w:hAnsi="Times New Roman"/>
          <w:lang w:val="en-US"/>
        </w:rPr>
      </w:pPr>
    </w:p>
    <w:p w:rsidR="004E6441" w:rsidRDefault="004E6441" w:rsidP="004E6441">
      <w:pPr>
        <w:tabs>
          <w:tab w:val="left" w:pos="1418"/>
        </w:tabs>
        <w:spacing w:after="0"/>
        <w:ind w:left="993" w:right="169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-109855</wp:posOffset>
            </wp:positionV>
            <wp:extent cx="904875" cy="1457325"/>
            <wp:effectExtent l="19050" t="0" r="9525" b="0"/>
            <wp:wrapTight wrapText="bothSides">
              <wp:wrapPolygon edited="0">
                <wp:start x="-455" y="0"/>
                <wp:lineTo x="-455" y="21459"/>
                <wp:lineTo x="21827" y="21459"/>
                <wp:lineTo x="21827" y="0"/>
                <wp:lineTo x="-455" y="0"/>
              </wp:wrapPolygon>
            </wp:wrapTight>
            <wp:docPr id="1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stem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12700</wp:posOffset>
            </wp:positionV>
            <wp:extent cx="990600" cy="1152525"/>
            <wp:effectExtent l="1905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5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ant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REPUBLICA MOLDOVA</w:t>
      </w:r>
    </w:p>
    <w:p w:rsidR="004E6441" w:rsidRDefault="004E6441" w:rsidP="004E6441">
      <w:pPr>
        <w:tabs>
          <w:tab w:val="left" w:pos="1701"/>
        </w:tabs>
        <w:spacing w:after="0"/>
        <w:ind w:left="-284" w:right="169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Șoldănești</w:t>
      </w:r>
      <w:proofErr w:type="spellEnd"/>
    </w:p>
    <w:p w:rsidR="004E6441" w:rsidRDefault="004E6441" w:rsidP="004E6441">
      <w:pPr>
        <w:tabs>
          <w:tab w:val="left" w:pos="1701"/>
          <w:tab w:val="left" w:pos="8364"/>
        </w:tabs>
        <w:spacing w:after="0"/>
        <w:ind w:left="993" w:right="22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Șoldănești</w:t>
      </w:r>
      <w:proofErr w:type="spellEnd"/>
    </w:p>
    <w:p w:rsidR="004E6441" w:rsidRDefault="004E6441" w:rsidP="004E6441">
      <w:pPr>
        <w:tabs>
          <w:tab w:val="left" w:pos="1701"/>
        </w:tabs>
        <w:spacing w:after="0" w:line="240" w:lineRule="auto"/>
        <w:ind w:left="993" w:right="1699"/>
        <w:contextualSpacing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MD-7201</w:t>
      </w:r>
      <w:proofErr w:type="gramStart"/>
      <w:r>
        <w:rPr>
          <w:rFonts w:ascii="Times New Roman" w:hAnsi="Times New Roman" w:cs="Times New Roman"/>
          <w:lang w:val="en-US"/>
        </w:rPr>
        <w:t>,Republica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Moldova,or.Șoldănești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:rsidR="004E6441" w:rsidRDefault="004E6441" w:rsidP="004E6441">
      <w:pPr>
        <w:tabs>
          <w:tab w:val="left" w:pos="1701"/>
        </w:tabs>
        <w:spacing w:after="0" w:line="240" w:lineRule="auto"/>
        <w:ind w:left="993" w:right="1699"/>
        <w:contextualSpacing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str.31</w:t>
      </w:r>
      <w:proofErr w:type="gramEnd"/>
      <w:r>
        <w:rPr>
          <w:rFonts w:ascii="Times New Roman" w:hAnsi="Times New Roman" w:cs="Times New Roman"/>
          <w:lang w:val="en-US"/>
        </w:rPr>
        <w:t xml:space="preserve"> August 1989, nr.1</w:t>
      </w:r>
    </w:p>
    <w:p w:rsidR="004E6441" w:rsidRDefault="004E6441" w:rsidP="004E6441">
      <w:pPr>
        <w:tabs>
          <w:tab w:val="left" w:pos="1701"/>
        </w:tabs>
        <w:spacing w:after="0" w:line="240" w:lineRule="auto"/>
        <w:ind w:left="993" w:right="1699"/>
        <w:contextualSpacing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>Tel</w:t>
      </w:r>
      <w:proofErr w:type="gramStart"/>
      <w:r>
        <w:rPr>
          <w:rFonts w:ascii="Times New Roman" w:hAnsi="Times New Roman" w:cs="Times New Roman"/>
          <w:lang w:val="en-US"/>
        </w:rPr>
        <w:t>.:</w:t>
      </w:r>
      <w:proofErr w:type="gramEnd"/>
      <w:r>
        <w:rPr>
          <w:rFonts w:ascii="Times New Roman" w:hAnsi="Times New Roman" w:cs="Times New Roman"/>
          <w:lang w:val="en-US"/>
        </w:rPr>
        <w:t>(272)2-26-50</w:t>
      </w:r>
      <w:proofErr w:type="gramStart"/>
      <w:r>
        <w:rPr>
          <w:rFonts w:ascii="Times New Roman" w:hAnsi="Times New Roman" w:cs="Times New Roman"/>
          <w:lang w:val="en-US"/>
        </w:rPr>
        <w:t>,</w:t>
      </w:r>
      <w:proofErr w:type="gramEnd"/>
      <w:r w:rsidR="002F319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"https://soldanesti.md/" </w:instrText>
      </w:r>
      <w:r w:rsidR="002F3190">
        <w:rPr>
          <w:rFonts w:ascii="Times New Roman" w:hAnsi="Times New Roman" w:cs="Times New Roman"/>
        </w:rPr>
        <w:fldChar w:fldCharType="separate"/>
      </w:r>
      <w:r>
        <w:rPr>
          <w:rStyle w:val="a3"/>
          <w:rFonts w:ascii="Times New Roman" w:eastAsia="Calibri" w:hAnsi="Times New Roman" w:cs="Times New Roman"/>
          <w:lang w:val="en-US"/>
        </w:rPr>
        <w:t>https://soldanesti.md/</w:t>
      </w:r>
      <w:r w:rsidR="002F319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ro-RO"/>
        </w:rPr>
        <w:t xml:space="preserve">  </w:t>
      </w:r>
    </w:p>
    <w:p w:rsidR="004E6441" w:rsidRDefault="004E6441" w:rsidP="004E6441">
      <w:pPr>
        <w:tabs>
          <w:tab w:val="left" w:pos="1701"/>
        </w:tabs>
        <w:spacing w:after="0" w:line="240" w:lineRule="auto"/>
        <w:ind w:left="993" w:right="1699"/>
        <w:contextualSpacing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Email:</w:t>
      </w:r>
      <w:r w:rsidR="002F3190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"mailto:consiliul.raional-soldanesti@apl.gov.md" </w:instrText>
      </w:r>
      <w:r w:rsidR="002F3190">
        <w:rPr>
          <w:rFonts w:ascii="Times New Roman" w:hAnsi="Times New Roman" w:cs="Times New Roman"/>
        </w:rPr>
        <w:fldChar w:fldCharType="separate"/>
      </w:r>
      <w:r>
        <w:rPr>
          <w:rStyle w:val="a3"/>
          <w:rFonts w:ascii="Times New Roman" w:eastAsia="Calibri" w:hAnsi="Times New Roman" w:cs="Times New Roman"/>
          <w:lang w:val="ro-RO"/>
        </w:rPr>
        <w:t>consiliul.raional-soldanesti@apl.gov.md</w:t>
      </w:r>
      <w:r w:rsidR="002F3190">
        <w:rPr>
          <w:rFonts w:ascii="Times New Roman" w:hAnsi="Times New Roman" w:cs="Times New Roman"/>
        </w:rPr>
        <w:fldChar w:fldCharType="end"/>
      </w:r>
      <w:r w:rsidR="002F3190" w:rsidRPr="002F3190">
        <w:pict>
          <v:line id="_x0000_s1027" style="position:absolute;left:0;text-align:left;z-index:251658752;mso-position-horizontal-relative:text;mso-position-vertical-relative:text" from="-78.9pt,13.3pt" to="398.1pt,13.3pt" strokeweight="3pt"/>
        </w:pict>
      </w:r>
    </w:p>
    <w:p w:rsidR="004E6441" w:rsidRDefault="004E6441" w:rsidP="004E6441">
      <w:pPr>
        <w:pStyle w:val="a4"/>
        <w:tabs>
          <w:tab w:val="left" w:pos="8662"/>
        </w:tabs>
        <w:ind w:right="-1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4E6441" w:rsidRDefault="004E6441" w:rsidP="004E6441">
      <w:pPr>
        <w:pStyle w:val="a4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proofErr w:type="spellEnd"/>
    </w:p>
    <w:p w:rsidR="00B80AAC" w:rsidRPr="00550699" w:rsidRDefault="004E6441" w:rsidP="00550699">
      <w:pPr>
        <w:pStyle w:val="a4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2 - 1</w:t>
      </w:r>
    </w:p>
    <w:p w:rsidR="00B80AAC" w:rsidRPr="004E6441" w:rsidRDefault="00B80AAC" w:rsidP="00B80AAC">
      <w:pPr>
        <w:tabs>
          <w:tab w:val="left" w:pos="8178"/>
        </w:tabs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64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26 martie 2026             </w:t>
      </w:r>
    </w:p>
    <w:p w:rsidR="00B80AAC" w:rsidRPr="004E6441" w:rsidRDefault="00B80AAC" w:rsidP="00B80AA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privire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aprobarea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raportului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80AAC" w:rsidRPr="004E6441" w:rsidRDefault="00B80AAC" w:rsidP="00B80AA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privind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executarea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bugetului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raional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anul</w:t>
      </w:r>
      <w:proofErr w:type="spellEnd"/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</w:p>
    <w:p w:rsidR="00B80AAC" w:rsidRPr="004E6441" w:rsidRDefault="00B80AAC" w:rsidP="00B80AA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80AAC" w:rsidRPr="004E6441" w:rsidRDefault="00B80AAC" w:rsidP="004E64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temeiul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prevederilor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43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(1)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53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436-XVI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decembrie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administrația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locală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modificările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completările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ulterioare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31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(3)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397-XV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octombrie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finanțele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locale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modificările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completările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ulterioare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Codului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administrativ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Mol</w:t>
      </w:r>
      <w:r w:rsidR="001B0BB3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dova</w:t>
      </w:r>
      <w:proofErr w:type="spellEnd"/>
      <w:r w:rsidR="001B0BB3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BB3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="001B0BB3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116 </w:t>
      </w:r>
      <w:proofErr w:type="spellStart"/>
      <w:r w:rsidR="001B0BB3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="001B0BB3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="001B0BB3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iulie</w:t>
      </w:r>
      <w:proofErr w:type="spellEnd"/>
      <w:r w:rsidR="001B0BB3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</w:t>
      </w:r>
      <w:r w:rsidR="001B0BB3"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art.12,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0BB3"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118-126</w:t>
      </w: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Șoldănești</w:t>
      </w:r>
      <w:r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E6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DECIDE: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ia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act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informația-raport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prezentată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Prisacari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Iurii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șeful Direcției Finanțe,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bugetului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mersul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executării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bugetelor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locale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satele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comunele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orașul Șoldănești)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anul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2025.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aprobă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Raportul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bugetului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anul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venituri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sumă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175 134,5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cheltuieli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sumă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171 783,9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excedent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3 350,6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conform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anexelor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. 1–4).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obligă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șefii direcțiilor, secțiilor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conducătorii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instituțiilor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finanțate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întreprindă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măsuri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efective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vederea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optimizării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cheltuielilor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asigurării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integrității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bunurilor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materiale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lichidării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datoriilor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debitoare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creditoare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proofErr w:type="gram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Direcția Finanțe (</w:t>
      </w:r>
      <w:r w:rsidR="00D85239"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şef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Prisacari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Iurii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proofErr w:type="gramEnd"/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IV.1.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finanțarea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cheltuielilor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stringente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instituțiilor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încasările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reale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veniturilor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IV.2.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înainteze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scopul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încheierii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anului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echilibrat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propuneri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rectificare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bugetului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atât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venituri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cât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cheltuieli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funcție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reală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recomandă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consiliilor</w:t>
      </w:r>
      <w:proofErr w:type="spellEnd"/>
      <w:r w:rsidR="00D85239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5239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locale</w:t>
      </w:r>
      <w:proofErr w:type="spellEnd"/>
      <w:r w:rsidR="00D85239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="00D85239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primăriilor</w:t>
      </w:r>
      <w:proofErr w:type="spellEnd"/>
      <w:r w:rsidR="00D85239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5239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satelor</w:t>
      </w:r>
      <w:proofErr w:type="spellEnd"/>
      <w:r w:rsidR="00D85239"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="00D85239"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comunelor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orașului Șoldănești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V.1.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întreprinderea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măsurilor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eficiente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diminuarea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restanțelor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colectarea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termen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impozitelor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taxelor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locale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aprobate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bugetele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locale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anul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2026; 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V.2.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analiza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factorilor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generat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datorii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creditoare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înaintarea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propunerilor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achitare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soldurile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disponibile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venituri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suplimentare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V.3.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spre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874" w:rsidRPr="004E64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</w:t>
      </w: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consiliile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locale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rapoartelor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bugetelor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proprii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anul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2025.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publică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site-ul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oficial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Consiliului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Raional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Șoldănești (</w:t>
      </w:r>
      <w:hyperlink r:id="rId7" w:tgtFrame="_blank" w:history="1">
        <w:r w:rsidRPr="004E64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www.soldanesti.md</w:t>
        </w:r>
      </w:hyperlink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80AAC" w:rsidRPr="004E6441" w:rsidRDefault="00B80AAC" w:rsidP="004E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Asigurarea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executării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prezentei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atribuie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Președintei </w:t>
      </w:r>
      <w:proofErr w:type="spellStart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raionului</w:t>
      </w:r>
      <w:proofErr w:type="spellEnd"/>
      <w:r w:rsidRPr="004E6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5239" w:rsidRPr="004E6441" w:rsidRDefault="00D85239" w:rsidP="004E644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B80AAC" w:rsidRPr="004E6441" w:rsidRDefault="0021687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6441">
        <w:rPr>
          <w:rFonts w:ascii="Times New Roman" w:hAnsi="Times New Roman" w:cs="Times New Roman"/>
          <w:b/>
          <w:sz w:val="24"/>
          <w:szCs w:val="24"/>
          <w:lang w:val="ro-RO"/>
        </w:rPr>
        <w:t>Inițiat: P</w:t>
      </w:r>
      <w:r w:rsidR="00B80AAC" w:rsidRPr="004E6441">
        <w:rPr>
          <w:rFonts w:ascii="Times New Roman" w:hAnsi="Times New Roman" w:cs="Times New Roman"/>
          <w:b/>
          <w:sz w:val="24"/>
          <w:szCs w:val="24"/>
          <w:lang w:val="ro-RO"/>
        </w:rPr>
        <w:t>reședinta raionului                                       Aliona PÎNZARI</w:t>
      </w:r>
    </w:p>
    <w:p w:rsidR="00B80AAC" w:rsidRDefault="00B80AA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6441">
        <w:rPr>
          <w:rFonts w:ascii="Times New Roman" w:hAnsi="Times New Roman" w:cs="Times New Roman"/>
          <w:b/>
          <w:sz w:val="24"/>
          <w:szCs w:val="24"/>
          <w:lang w:val="ro-RO"/>
        </w:rPr>
        <w:t>Elaborat: Direcția finanțe,șef                                    Iurie Prisacari</w:t>
      </w:r>
    </w:p>
    <w:p w:rsidR="00550699" w:rsidRDefault="0055069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50699" w:rsidRPr="00550699" w:rsidRDefault="00550699" w:rsidP="0055069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0699">
        <w:rPr>
          <w:rFonts w:ascii="Times New Roman" w:hAnsi="Times New Roman" w:cs="Times New Roman"/>
          <w:b/>
          <w:sz w:val="24"/>
          <w:szCs w:val="24"/>
        </w:rPr>
        <w:lastRenderedPageBreak/>
        <w:t>Notă</w:t>
      </w:r>
      <w:proofErr w:type="spellEnd"/>
      <w:r w:rsidRPr="00550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699">
        <w:rPr>
          <w:rFonts w:ascii="Times New Roman" w:hAnsi="Times New Roman" w:cs="Times New Roman"/>
          <w:b/>
          <w:sz w:val="24"/>
          <w:szCs w:val="24"/>
        </w:rPr>
        <w:t>informativă</w:t>
      </w:r>
      <w:proofErr w:type="spellEnd"/>
      <w:r w:rsidRPr="005506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699" w:rsidRPr="00550699" w:rsidRDefault="00550699" w:rsidP="0055069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5069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55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69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55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699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55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6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5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69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5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699">
        <w:rPr>
          <w:rFonts w:ascii="Times New Roman" w:hAnsi="Times New Roman" w:cs="Times New Roman"/>
          <w:sz w:val="24"/>
          <w:szCs w:val="24"/>
        </w:rPr>
        <w:t>execut</w:t>
      </w:r>
      <w:proofErr w:type="spellEnd"/>
      <w:r w:rsidRPr="00550699">
        <w:rPr>
          <w:rFonts w:ascii="Times New Roman" w:hAnsi="Times New Roman" w:cs="Times New Roman"/>
          <w:sz w:val="24"/>
          <w:szCs w:val="24"/>
          <w:lang w:val="ro-RO"/>
        </w:rPr>
        <w:t>ării bugetului raional pe anul 2025</w:t>
      </w:r>
    </w:p>
    <w:p w:rsidR="00550699" w:rsidRPr="00550699" w:rsidRDefault="00550699" w:rsidP="0055069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69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550699" w:rsidRPr="00550699" w:rsidTr="00800930">
        <w:tc>
          <w:tcPr>
            <w:tcW w:w="5000" w:type="pct"/>
          </w:tcPr>
          <w:p w:rsidR="00550699" w:rsidRPr="00550699" w:rsidRDefault="00550699" w:rsidP="00550699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autorului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după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caz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participanţilor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elaborarea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Președintele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raionului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Pr="005506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irecția finanțe</w:t>
            </w: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Condiţiile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impus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elaborarea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act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normativ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finalităţile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urmărite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pStyle w:val="a5"/>
              <w:spacing w:after="0" w:line="276" w:lineRule="auto"/>
              <w:ind w:left="720"/>
              <w:jc w:val="both"/>
              <w:rPr>
                <w:lang w:val="en-US"/>
              </w:rPr>
            </w:pPr>
            <w:proofErr w:type="spellStart"/>
            <w:r w:rsidRPr="00550699">
              <w:rPr>
                <w:lang w:val="en-US"/>
              </w:rPr>
              <w:t>Proiectul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deciziei</w:t>
            </w:r>
            <w:proofErr w:type="spellEnd"/>
            <w:r w:rsidRPr="00550699">
              <w:rPr>
                <w:lang w:val="en-US"/>
              </w:rPr>
              <w:t xml:space="preserve"> a </w:t>
            </w:r>
            <w:proofErr w:type="spellStart"/>
            <w:r w:rsidRPr="00550699">
              <w:rPr>
                <w:lang w:val="en-US"/>
              </w:rPr>
              <w:t>fost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elaborat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în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temeiul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prevederilor</w:t>
            </w:r>
            <w:proofErr w:type="spellEnd"/>
            <w:r w:rsidRPr="00550699">
              <w:rPr>
                <w:lang w:val="en-US"/>
              </w:rPr>
              <w:t xml:space="preserve"> art.43 </w:t>
            </w:r>
            <w:proofErr w:type="spellStart"/>
            <w:r w:rsidRPr="00550699">
              <w:rPr>
                <w:lang w:val="en-US"/>
              </w:rPr>
              <w:t>şi</w:t>
            </w:r>
            <w:proofErr w:type="spellEnd"/>
            <w:r w:rsidRPr="00550699">
              <w:rPr>
                <w:lang w:val="en-US"/>
              </w:rPr>
              <w:t xml:space="preserve"> art.53 ale </w:t>
            </w:r>
            <w:proofErr w:type="spellStart"/>
            <w:r w:rsidRPr="00550699">
              <w:rPr>
                <w:lang w:val="en-US"/>
              </w:rPr>
              <w:t>Legii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Republicii</w:t>
            </w:r>
            <w:proofErr w:type="spellEnd"/>
            <w:r w:rsidRPr="00550699">
              <w:rPr>
                <w:lang w:val="en-US"/>
              </w:rPr>
              <w:t xml:space="preserve"> Moldova nr.436-XVI din 28.12.2006 </w:t>
            </w:r>
            <w:proofErr w:type="spellStart"/>
            <w:r w:rsidRPr="00550699">
              <w:rPr>
                <w:lang w:val="en-US"/>
              </w:rPr>
              <w:t>privind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administraţia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publică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locală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și</w:t>
            </w:r>
            <w:proofErr w:type="spellEnd"/>
            <w:r w:rsidRPr="00550699">
              <w:rPr>
                <w:lang w:val="en-US"/>
              </w:rPr>
              <w:t xml:space="preserve"> art.31 al </w:t>
            </w:r>
            <w:proofErr w:type="spellStart"/>
            <w:r w:rsidRPr="00550699">
              <w:rPr>
                <w:lang w:val="en-US"/>
              </w:rPr>
              <w:t>Legii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Republicii</w:t>
            </w:r>
            <w:proofErr w:type="spellEnd"/>
            <w:r w:rsidRPr="00550699">
              <w:rPr>
                <w:lang w:val="en-US"/>
              </w:rPr>
              <w:t xml:space="preserve"> Moldova </w:t>
            </w:r>
            <w:proofErr w:type="spellStart"/>
            <w:r w:rsidRPr="00550699">
              <w:rPr>
                <w:lang w:val="en-US"/>
              </w:rPr>
              <w:t>privind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finanţele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publice</w:t>
            </w:r>
            <w:proofErr w:type="spellEnd"/>
            <w:r w:rsidRPr="00550699">
              <w:rPr>
                <w:lang w:val="en-US"/>
              </w:rPr>
              <w:t xml:space="preserve"> locale nr.397-XV din 16 </w:t>
            </w:r>
            <w:proofErr w:type="spellStart"/>
            <w:r w:rsidRPr="00550699">
              <w:rPr>
                <w:lang w:val="en-US"/>
              </w:rPr>
              <w:t>octombrie</w:t>
            </w:r>
            <w:proofErr w:type="spellEnd"/>
            <w:r w:rsidRPr="00550699">
              <w:rPr>
                <w:lang w:val="en-US"/>
              </w:rPr>
              <w:t xml:space="preserve"> 2003. </w:t>
            </w:r>
            <w:proofErr w:type="spellStart"/>
            <w:r w:rsidRPr="00550699">
              <w:rPr>
                <w:lang w:val="en-US"/>
              </w:rPr>
              <w:t>Finalităţile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urmărite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prin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adoptarea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actului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respectiv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constau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în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raportarea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și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aprobarea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rezultatatelor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executării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bugetului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raional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pe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anul</w:t>
            </w:r>
            <w:proofErr w:type="spellEnd"/>
            <w:r w:rsidRPr="00550699">
              <w:rPr>
                <w:lang w:val="en-US"/>
              </w:rPr>
              <w:t xml:space="preserve"> 2025. </w:t>
            </w: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Descrierea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gradului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compatibilitate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proiectele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care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scop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armonizarea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legislaţiei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naţionale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legislaţia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Uniunii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Europene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Prezentul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scop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armonizarea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legislaţiei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legislaţia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Uniunii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Principalele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prevederi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evidenţierea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elementelor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noi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executării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 la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175134</w:t>
            </w:r>
            <w:proofErr w:type="gram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proofErr w:type="gram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171783,9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 cu un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excedent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3350,6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 ( conform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anexelor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nr.1-4).</w:t>
            </w: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Fundamentarea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pStyle w:val="a5"/>
              <w:spacing w:after="0" w:line="276" w:lineRule="auto"/>
              <w:ind w:left="0"/>
              <w:rPr>
                <w:lang w:val="en-US"/>
              </w:rPr>
            </w:pPr>
            <w:proofErr w:type="spellStart"/>
            <w:r w:rsidRPr="00550699">
              <w:rPr>
                <w:lang w:val="en-US"/>
              </w:rPr>
              <w:t>Implementarea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proiectului</w:t>
            </w:r>
            <w:proofErr w:type="spellEnd"/>
            <w:r w:rsidRPr="00550699">
              <w:rPr>
                <w:lang w:val="en-US"/>
              </w:rPr>
              <w:t xml:space="preserve"> de </w:t>
            </w:r>
            <w:proofErr w:type="spellStart"/>
            <w:r w:rsidRPr="00550699">
              <w:rPr>
                <w:lang w:val="en-US"/>
              </w:rPr>
              <w:t>decizie</w:t>
            </w:r>
            <w:proofErr w:type="spellEnd"/>
            <w:r w:rsidRPr="00550699">
              <w:rPr>
                <w:lang w:val="en-US"/>
              </w:rPr>
              <w:t xml:space="preserve"> nu </w:t>
            </w:r>
            <w:proofErr w:type="spellStart"/>
            <w:r w:rsidRPr="00550699">
              <w:rPr>
                <w:lang w:val="en-US"/>
              </w:rPr>
              <w:t>va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necesita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cheltuieli</w:t>
            </w:r>
            <w:proofErr w:type="spellEnd"/>
            <w:r w:rsidRPr="00550699">
              <w:rPr>
                <w:lang w:val="en-US"/>
              </w:rPr>
              <w:t xml:space="preserve"> </w:t>
            </w:r>
            <w:proofErr w:type="spellStart"/>
            <w:r w:rsidRPr="00550699">
              <w:rPr>
                <w:lang w:val="en-US"/>
              </w:rPr>
              <w:t>suplimentare</w:t>
            </w:r>
            <w:proofErr w:type="spellEnd"/>
            <w:r w:rsidRPr="00550699">
              <w:rPr>
                <w:lang w:val="en-US"/>
              </w:rPr>
              <w:t xml:space="preserve">. </w:t>
            </w: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Modul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încorporare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actului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normativ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vigoare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Avizarea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consultarea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publică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Conform art.32 din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nr.100/2017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Direcția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Finanțe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principal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239/2013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oficială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5506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www.soldanesti.md</w:t>
              </w:r>
            </w:hyperlink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directoriul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Transparenţa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secţiunea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Constatările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expertizei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anticorupție</w:t>
            </w: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Constatările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expertizei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compatibilitate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Constatările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expertizei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art.37 din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nr.100/2017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expertizei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principal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preşedintelui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concordanță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</w:t>
            </w:r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nr.436/2006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administrația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locală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nr.397/2003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finanțele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finanțelor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responsabilității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fiscale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nr.181/2014.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conținutul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actului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corespund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normelor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legislativă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Constatările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altor</w:t>
            </w:r>
            <w:proofErr w:type="spellEnd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b/>
                <w:sz w:val="24"/>
                <w:szCs w:val="24"/>
              </w:rPr>
              <w:t>expertize</w:t>
            </w:r>
            <w:proofErr w:type="spellEnd"/>
          </w:p>
        </w:tc>
      </w:tr>
      <w:tr w:rsidR="00550699" w:rsidRPr="00550699" w:rsidTr="00800930">
        <w:tc>
          <w:tcPr>
            <w:tcW w:w="5000" w:type="pct"/>
          </w:tcPr>
          <w:p w:rsidR="00550699" w:rsidRPr="00550699" w:rsidRDefault="00550699" w:rsidP="00800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prezentat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avizare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propus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</w:t>
            </w:r>
            <w:proofErr w:type="spellEnd"/>
            <w:r w:rsidRPr="00550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550699" w:rsidRPr="00550699" w:rsidRDefault="00550699" w:rsidP="0055069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550699" w:rsidRPr="00550699" w:rsidRDefault="00550699" w:rsidP="0055069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550699" w:rsidRPr="00550699" w:rsidRDefault="00550699" w:rsidP="0055069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550699" w:rsidRPr="00550699" w:rsidRDefault="00550699" w:rsidP="0055069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550699">
        <w:rPr>
          <w:rFonts w:ascii="Times New Roman" w:hAnsi="Times New Roman" w:cs="Times New Roman"/>
          <w:b/>
          <w:sz w:val="24"/>
          <w:szCs w:val="24"/>
          <w:lang w:val="en-US"/>
        </w:rPr>
        <w:t>Şef</w:t>
      </w:r>
      <w:proofErr w:type="spellEnd"/>
      <w:r w:rsidRPr="00550699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5506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50699">
        <w:rPr>
          <w:rFonts w:ascii="Times New Roman" w:hAnsi="Times New Roman" w:cs="Times New Roman"/>
          <w:b/>
          <w:sz w:val="24"/>
          <w:szCs w:val="24"/>
          <w:lang w:val="en-US"/>
        </w:rPr>
        <w:t>Direcţie</w:t>
      </w:r>
      <w:proofErr w:type="spellEnd"/>
      <w:r w:rsidRPr="00550699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5506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50699">
        <w:rPr>
          <w:rFonts w:ascii="Times New Roman" w:hAnsi="Times New Roman" w:cs="Times New Roman"/>
          <w:b/>
          <w:sz w:val="24"/>
          <w:szCs w:val="24"/>
          <w:lang w:val="en-US"/>
        </w:rPr>
        <w:t>Finanţe</w:t>
      </w:r>
      <w:proofErr w:type="spellEnd"/>
      <w:r w:rsidRPr="005506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</w:t>
      </w:r>
      <w:proofErr w:type="spellStart"/>
      <w:r w:rsidRPr="00550699">
        <w:rPr>
          <w:rFonts w:ascii="Times New Roman" w:hAnsi="Times New Roman" w:cs="Times New Roman"/>
          <w:b/>
          <w:sz w:val="24"/>
          <w:szCs w:val="24"/>
          <w:lang w:val="en-US"/>
        </w:rPr>
        <w:t>Iurii</w:t>
      </w:r>
      <w:proofErr w:type="spellEnd"/>
      <w:r w:rsidRPr="005506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PRISACARI</w:t>
      </w:r>
    </w:p>
    <w:sectPr w:rsidR="00550699" w:rsidRPr="00550699" w:rsidSect="004E64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13309"/>
    <w:multiLevelType w:val="multilevel"/>
    <w:tmpl w:val="480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7023"/>
    <w:rsid w:val="001B0BB3"/>
    <w:rsid w:val="00216874"/>
    <w:rsid w:val="002F3190"/>
    <w:rsid w:val="004D0473"/>
    <w:rsid w:val="004E6441"/>
    <w:rsid w:val="00550699"/>
    <w:rsid w:val="006B62FF"/>
    <w:rsid w:val="00A14214"/>
    <w:rsid w:val="00A3638E"/>
    <w:rsid w:val="00B80AAC"/>
    <w:rsid w:val="00BB65F3"/>
    <w:rsid w:val="00D67023"/>
    <w:rsid w:val="00D8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AAC"/>
    <w:rPr>
      <w:color w:val="0000FF"/>
      <w:u w:val="single"/>
    </w:rPr>
  </w:style>
  <w:style w:type="paragraph" w:styleId="a4">
    <w:name w:val="No Spacing"/>
    <w:uiPriority w:val="1"/>
    <w:qFormat/>
    <w:rsid w:val="004E64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5069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506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A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2026-03-13T13:53:00Z</cp:lastPrinted>
  <dcterms:created xsi:type="dcterms:W3CDTF">2026-03-16T12:12:00Z</dcterms:created>
  <dcterms:modified xsi:type="dcterms:W3CDTF">2026-03-17T07:05:00Z</dcterms:modified>
</cp:coreProperties>
</file>