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FD" w:rsidRDefault="004C58FD" w:rsidP="004C58FD">
      <w:pPr>
        <w:ind w:left="-1134" w:right="-1192"/>
      </w:pPr>
      <w:r>
        <w:rPr>
          <w:b/>
          <w:sz w:val="32"/>
          <w:szCs w:val="32"/>
        </w:rPr>
        <w:t xml:space="preserve">   </w:t>
      </w:r>
      <w:r>
        <w:pict>
          <v:rect id="_x0000_s1037" style="position:absolute;left:0;text-align:left;margin-left:207pt;margin-top:0;width:68.45pt;height:66.4pt;z-index:251661312;mso-wrap-style:none;mso-position-horizontal-relative:text;mso-position-vertical-relative:text" stroked="f">
            <v:textbox style="mso-next-textbox:#_x0000_s1037;mso-fit-shape-to-text:t">
              <w:txbxContent>
                <w:p w:rsidR="004C58FD" w:rsidRDefault="004C58FD" w:rsidP="004C58FD"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685800" cy="749300"/>
                        <wp:effectExtent l="19050" t="0" r="0" b="0"/>
                        <wp:docPr id="1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56000" contrast="94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t xml:space="preserve"> </w:t>
      </w:r>
      <w:r>
        <w:rPr>
          <w:lang w:val="ru-RU"/>
        </w:rPr>
        <w:t xml:space="preserve">                 </w:t>
      </w:r>
      <w:r>
        <w:t xml:space="preserve"> REPUBLICA  MOLDOVA</w:t>
      </w:r>
      <w:r>
        <w:tab/>
      </w:r>
      <w:r>
        <w:tab/>
      </w:r>
      <w:r>
        <w:tab/>
      </w:r>
      <w:r>
        <w:tab/>
        <w:t xml:space="preserve">     РЕС</w:t>
      </w:r>
      <w:r>
        <w:rPr>
          <w:lang w:val="ru-RU"/>
        </w:rPr>
        <w:t>Р</w:t>
      </w:r>
      <w:r>
        <w:t xml:space="preserve">УБЛИКА  МОЛДОВА </w:t>
      </w:r>
    </w:p>
    <w:p w:rsidR="004C58FD" w:rsidRDefault="004C58FD" w:rsidP="004C58FD">
      <w:pPr>
        <w:rPr>
          <w:sz w:val="20"/>
          <w:szCs w:val="20"/>
        </w:rPr>
      </w:pPr>
    </w:p>
    <w:p w:rsidR="004C58FD" w:rsidRDefault="004C58FD" w:rsidP="004C58FD">
      <w:pPr>
        <w:ind w:right="-908"/>
        <w:rPr>
          <w:b/>
        </w:rPr>
      </w:pPr>
      <w:r>
        <w:t xml:space="preserve">      </w:t>
      </w:r>
      <w:r>
        <w:rPr>
          <w:b/>
        </w:rPr>
        <w:t xml:space="preserve">CONSILIUL  RAIONAL                                                       РАЙОНЫЙ  СОВЕТ           </w:t>
      </w:r>
    </w:p>
    <w:p w:rsidR="004C58FD" w:rsidRDefault="004C58FD" w:rsidP="004C58FD">
      <w:pPr>
        <w:rPr>
          <w:b/>
        </w:rPr>
      </w:pPr>
      <w:r>
        <w:rPr>
          <w:b/>
        </w:rPr>
        <w:t xml:space="preserve">              ŞOLDĂNEŞTI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ШОЛДЭНЕШТЪ      </w:t>
      </w:r>
    </w:p>
    <w:p w:rsidR="004C58FD" w:rsidRDefault="004C58FD" w:rsidP="004C58FD">
      <w:pPr>
        <w:rPr>
          <w:b/>
          <w:sz w:val="20"/>
          <w:szCs w:val="20"/>
        </w:rPr>
      </w:pPr>
    </w:p>
    <w:p w:rsidR="004C58FD" w:rsidRDefault="004C58FD" w:rsidP="004C58FD">
      <w:pPr>
        <w:rPr>
          <w:sz w:val="20"/>
        </w:rPr>
      </w:pPr>
      <w:r>
        <w:rPr>
          <w:sz w:val="20"/>
        </w:rPr>
        <w:t xml:space="preserve">        or. Şoldăneşti, st. 31 August,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г. </w:t>
      </w:r>
      <w:proofErr w:type="spellStart"/>
      <w:r>
        <w:rPr>
          <w:sz w:val="20"/>
        </w:rPr>
        <w:t>Шолдэнешть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ул</w:t>
      </w:r>
      <w:proofErr w:type="spellEnd"/>
      <w:r>
        <w:rPr>
          <w:sz w:val="20"/>
        </w:rPr>
        <w:t xml:space="preserve">. 31 </w:t>
      </w:r>
      <w:proofErr w:type="spellStart"/>
      <w:r>
        <w:rPr>
          <w:sz w:val="20"/>
        </w:rPr>
        <w:t>Августа</w:t>
      </w:r>
      <w:proofErr w:type="spellEnd"/>
      <w:r>
        <w:rPr>
          <w:sz w:val="20"/>
        </w:rPr>
        <w:t>, 1</w:t>
      </w:r>
    </w:p>
    <w:p w:rsidR="004C58FD" w:rsidRDefault="004C58FD" w:rsidP="004C58FD">
      <w:pPr>
        <w:rPr>
          <w:sz w:val="20"/>
          <w:lang w:val="en-US"/>
        </w:rPr>
      </w:pPr>
      <w:r>
        <w:rPr>
          <w:sz w:val="20"/>
        </w:rPr>
        <w:t xml:space="preserve">   tel: (272) 2-26-50, fax: (272) 2-20-57</w:t>
      </w:r>
      <w:r>
        <w:rPr>
          <w:sz w:val="20"/>
        </w:rPr>
        <w:tab/>
        <w:t xml:space="preserve">                                             </w:t>
      </w:r>
      <w:r>
        <w:rPr>
          <w:sz w:val="20"/>
          <w:szCs w:val="20"/>
          <w:lang w:val="ru-RU"/>
        </w:rPr>
        <w:t>тел</w:t>
      </w:r>
      <w:r>
        <w:rPr>
          <w:sz w:val="20"/>
          <w:szCs w:val="20"/>
        </w:rPr>
        <w:t>:</w:t>
      </w:r>
      <w:r>
        <w:rPr>
          <w:sz w:val="20"/>
        </w:rPr>
        <w:t xml:space="preserve"> (272) 2-26-</w:t>
      </w:r>
      <w:r>
        <w:rPr>
          <w:sz w:val="20"/>
          <w:lang w:val="en-US"/>
        </w:rPr>
        <w:t xml:space="preserve">50, </w:t>
      </w:r>
      <w:proofErr w:type="spellStart"/>
      <w:r>
        <w:rPr>
          <w:sz w:val="20"/>
          <w:lang w:val="ru-RU"/>
        </w:rPr>
        <w:t>ф</w:t>
      </w:r>
      <w:proofErr w:type="spellEnd"/>
      <w:r>
        <w:rPr>
          <w:sz w:val="20"/>
        </w:rPr>
        <w:t>a</w:t>
      </w:r>
      <w:r>
        <w:rPr>
          <w:sz w:val="20"/>
          <w:lang w:val="ru-RU"/>
        </w:rPr>
        <w:t>кс</w:t>
      </w:r>
      <w:r>
        <w:rPr>
          <w:sz w:val="20"/>
        </w:rPr>
        <w:t>: (272) 2-20-</w:t>
      </w:r>
      <w:r>
        <w:rPr>
          <w:sz w:val="20"/>
          <w:lang w:val="en-US"/>
        </w:rPr>
        <w:t xml:space="preserve">57 </w:t>
      </w:r>
    </w:p>
    <w:p w:rsidR="004C58FD" w:rsidRDefault="004C58FD" w:rsidP="004C58FD">
      <w:pPr>
        <w:rPr>
          <w:sz w:val="20"/>
          <w:lang w:val="en-US"/>
        </w:rPr>
      </w:pPr>
      <w:r>
        <w:rPr>
          <w:sz w:val="20"/>
          <w:lang w:val="en-US"/>
        </w:rPr>
        <w:t xml:space="preserve">         E</w:t>
      </w:r>
      <w:proofErr w:type="spellStart"/>
      <w:r>
        <w:rPr>
          <w:sz w:val="20"/>
        </w:rPr>
        <w:t>-mail</w:t>
      </w:r>
      <w:proofErr w:type="spellEnd"/>
      <w:r>
        <w:rPr>
          <w:sz w:val="20"/>
        </w:rPr>
        <w:t xml:space="preserve">: </w:t>
      </w:r>
      <w:hyperlink r:id="rId5" w:history="1">
        <w:r w:rsidRPr="00BE1F20">
          <w:rPr>
            <w:rStyle w:val="a5"/>
            <w:rFonts w:eastAsiaTheme="majorEastAsia"/>
            <w:sz w:val="20"/>
          </w:rPr>
          <w:t>consiliu@soldanesti</w:t>
        </w:r>
        <w:r w:rsidRPr="00BE1F20">
          <w:rPr>
            <w:rStyle w:val="a5"/>
            <w:rFonts w:eastAsiaTheme="majorEastAsia"/>
            <w:sz w:val="20"/>
            <w:lang w:val="en-US"/>
          </w:rPr>
          <w:t>.md</w:t>
        </w:r>
      </w:hyperlink>
      <w:r>
        <w:rPr>
          <w:sz w:val="20"/>
        </w:rPr>
        <w:t xml:space="preserve">                                      </w:t>
      </w:r>
      <w:r>
        <w:rPr>
          <w:sz w:val="20"/>
          <w:lang w:val="en-US"/>
        </w:rPr>
        <w:t xml:space="preserve">                          E</w:t>
      </w:r>
      <w:proofErr w:type="spellStart"/>
      <w:r>
        <w:rPr>
          <w:sz w:val="20"/>
        </w:rPr>
        <w:t>-mail</w:t>
      </w:r>
      <w:proofErr w:type="spellEnd"/>
      <w:r>
        <w:rPr>
          <w:sz w:val="20"/>
        </w:rPr>
        <w:t xml:space="preserve">: </w:t>
      </w:r>
      <w:hyperlink r:id="rId6" w:history="1">
        <w:r w:rsidRPr="00BE1F20">
          <w:rPr>
            <w:rStyle w:val="a5"/>
            <w:rFonts w:eastAsiaTheme="majorEastAsia"/>
            <w:sz w:val="20"/>
          </w:rPr>
          <w:t>consiliu@soldanesti</w:t>
        </w:r>
        <w:r w:rsidRPr="00BE1F20">
          <w:rPr>
            <w:rStyle w:val="a5"/>
            <w:rFonts w:eastAsiaTheme="majorEastAsia"/>
            <w:sz w:val="20"/>
            <w:lang w:val="en-US"/>
          </w:rPr>
          <w:t>.md</w:t>
        </w:r>
      </w:hyperlink>
    </w:p>
    <w:p w:rsidR="004C58FD" w:rsidRDefault="004C58FD" w:rsidP="004C58FD">
      <w:pPr>
        <w:rPr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pict>
          <v:line id="_x0000_s1036" style="position:absolute;z-index:251660288;mso-position-horizontal-relative:text;mso-position-vertical-relative:text" from="0,2.6pt" to="477pt,2.6pt" strokeweight="3pt"/>
        </w:pict>
      </w:r>
    </w:p>
    <w:p w:rsidR="004C58FD" w:rsidRPr="00E907F6" w:rsidRDefault="004C58FD" w:rsidP="004C58FD">
      <w:pPr>
        <w:jc w:val="center"/>
        <w:rPr>
          <w:b/>
        </w:rPr>
      </w:pPr>
      <w:r w:rsidRPr="00E907F6">
        <w:rPr>
          <w:b/>
          <w:lang w:val="en-US"/>
        </w:rPr>
        <w:t>DECI</w:t>
      </w:r>
      <w:r w:rsidRPr="00E907F6">
        <w:rPr>
          <w:b/>
        </w:rPr>
        <w:t>ZIE nr.1-8</w:t>
      </w:r>
    </w:p>
    <w:p w:rsidR="004C58FD" w:rsidRPr="00E907F6" w:rsidRDefault="004C58FD" w:rsidP="004C58FD">
      <w:pPr>
        <w:rPr>
          <w:b/>
        </w:rPr>
      </w:pPr>
    </w:p>
    <w:p w:rsidR="004C58FD" w:rsidRPr="00E907F6" w:rsidRDefault="004C58FD" w:rsidP="004C58FD">
      <w:pPr>
        <w:jc w:val="center"/>
      </w:pPr>
      <w:r w:rsidRPr="00E907F6">
        <w:rPr>
          <w:b/>
        </w:rPr>
        <w:tab/>
      </w:r>
      <w:r w:rsidRPr="00E907F6">
        <w:rPr>
          <w:b/>
        </w:rPr>
        <w:tab/>
      </w:r>
      <w:r w:rsidRPr="00E907F6">
        <w:rPr>
          <w:b/>
        </w:rPr>
        <w:tab/>
      </w:r>
      <w:r w:rsidRPr="00E907F6">
        <w:rPr>
          <w:b/>
        </w:rPr>
        <w:tab/>
      </w:r>
      <w:r w:rsidRPr="00E907F6">
        <w:rPr>
          <w:b/>
        </w:rPr>
        <w:tab/>
      </w:r>
      <w:r w:rsidRPr="00E907F6">
        <w:rPr>
          <w:b/>
        </w:rPr>
        <w:tab/>
      </w:r>
      <w:r w:rsidRPr="00E907F6">
        <w:rPr>
          <w:b/>
        </w:rPr>
        <w:tab/>
        <w:t xml:space="preserve">                    </w:t>
      </w:r>
      <w:r w:rsidRPr="00E907F6">
        <w:t>din 23.01.2020</w:t>
      </w:r>
    </w:p>
    <w:p w:rsidR="004C58FD" w:rsidRPr="00E907F6" w:rsidRDefault="004C58FD" w:rsidP="004C58FD">
      <w:pPr>
        <w:ind w:left="-360"/>
        <w:jc w:val="both"/>
      </w:pPr>
      <w:r w:rsidRPr="00E907F6">
        <w:t>Cu privire la constituirea Comisiei</w:t>
      </w:r>
    </w:p>
    <w:p w:rsidR="004C58FD" w:rsidRPr="00E907F6" w:rsidRDefault="004C58FD" w:rsidP="004C58FD">
      <w:pPr>
        <w:ind w:left="-360"/>
        <w:jc w:val="both"/>
      </w:pPr>
      <w:r w:rsidRPr="00E907F6">
        <w:t xml:space="preserve">de concurs pentru ocuparea funcţiilor </w:t>
      </w:r>
    </w:p>
    <w:p w:rsidR="004C58FD" w:rsidRPr="00E907F6" w:rsidRDefault="004C58FD" w:rsidP="004C58FD">
      <w:pPr>
        <w:ind w:left="-360"/>
        <w:jc w:val="both"/>
      </w:pPr>
      <w:r w:rsidRPr="00E907F6">
        <w:t xml:space="preserve">publice vacante </w:t>
      </w:r>
    </w:p>
    <w:p w:rsidR="004C58FD" w:rsidRPr="00E907F6" w:rsidRDefault="004C58FD" w:rsidP="004C58FD">
      <w:pPr>
        <w:jc w:val="both"/>
        <w:rPr>
          <w:b/>
          <w:i/>
        </w:rPr>
      </w:pPr>
    </w:p>
    <w:p w:rsidR="004C58FD" w:rsidRPr="00E907F6" w:rsidRDefault="004C58FD" w:rsidP="004C58FD">
      <w:pPr>
        <w:jc w:val="both"/>
      </w:pPr>
      <w:r w:rsidRPr="00E907F6">
        <w:tab/>
      </w:r>
      <w:r w:rsidRPr="00E907F6">
        <w:tab/>
        <w:t xml:space="preserve">În conformitate cu </w:t>
      </w:r>
      <w:proofErr w:type="spellStart"/>
      <w:r w:rsidRPr="00E907F6">
        <w:t>prevedrile</w:t>
      </w:r>
      <w:proofErr w:type="spellEnd"/>
      <w:r w:rsidRPr="00E907F6">
        <w:t xml:space="preserve"> art.43 alin.(1) al Legii privind administraţia publică locală nr. 436-XVI  din 28 decembrie 2006, art.29, subpunctul (2), </w:t>
      </w:r>
      <w:proofErr w:type="spellStart"/>
      <w:r w:rsidRPr="00E907F6">
        <w:t>lit.c</w:t>
      </w:r>
      <w:proofErr w:type="spellEnd"/>
      <w:r w:rsidRPr="00E907F6">
        <w:t xml:space="preserve">) din Legea nr.158-XVI din 4 iulie 2008 cu privire la funcţia publică şi statutul funcţionarului public şi </w:t>
      </w:r>
      <w:r>
        <w:t xml:space="preserve">pct.48-49 al </w:t>
      </w:r>
      <w:r w:rsidRPr="00E907F6">
        <w:t>Regulamentul</w:t>
      </w:r>
      <w:r>
        <w:t>ui</w:t>
      </w:r>
      <w:r w:rsidRPr="00E907F6">
        <w:t xml:space="preserve"> cu privire la ocuparea funcţiei publice vacante prin concurs, aprobat prin </w:t>
      </w:r>
      <w:proofErr w:type="spellStart"/>
      <w:r w:rsidRPr="00E907F6">
        <w:t>Hotărîrea</w:t>
      </w:r>
      <w:proofErr w:type="spellEnd"/>
      <w:r w:rsidRPr="00E907F6">
        <w:t xml:space="preserve"> Guvernului nr.201 din 11 martie 2009,  în scopul desfăşurării concursurilor pentru ocuparea funcţiilor publice de conducere vacante subordonate Consiliului raional,  Consiliul raional </w:t>
      </w:r>
      <w:r w:rsidRPr="00E907F6">
        <w:rPr>
          <w:b/>
        </w:rPr>
        <w:t>DECIDE:</w:t>
      </w:r>
    </w:p>
    <w:p w:rsidR="004C58FD" w:rsidRPr="00E907F6" w:rsidRDefault="004C58FD" w:rsidP="004C58FD"/>
    <w:p w:rsidR="004C58FD" w:rsidRPr="00E907F6" w:rsidRDefault="004C58FD" w:rsidP="004C58FD">
      <w:pPr>
        <w:jc w:val="both"/>
      </w:pPr>
      <w:r w:rsidRPr="00E907F6">
        <w:t>I. Se constituie Comisia de concurs în următoarea componenţă:</w:t>
      </w:r>
    </w:p>
    <w:p w:rsidR="004C58FD" w:rsidRPr="00E907F6" w:rsidRDefault="004C58FD" w:rsidP="004C58FD">
      <w:pPr>
        <w:jc w:val="both"/>
      </w:pPr>
      <w:r w:rsidRPr="00E907F6">
        <w:t xml:space="preserve">1.   Mîndru Nicolae </w:t>
      </w:r>
      <w:r w:rsidRPr="00E907F6">
        <w:tab/>
        <w:t xml:space="preserve"> </w:t>
      </w:r>
      <w:proofErr w:type="spellStart"/>
      <w:r w:rsidRPr="00E907F6">
        <w:t>-preşedintele</w:t>
      </w:r>
      <w:proofErr w:type="spellEnd"/>
      <w:r w:rsidRPr="00E907F6">
        <w:t xml:space="preserve"> raionului, preşedinte al Comisiei de concurs;</w:t>
      </w:r>
    </w:p>
    <w:p w:rsidR="004C58FD" w:rsidRPr="00E907F6" w:rsidRDefault="004C58FD" w:rsidP="004C58FD">
      <w:pPr>
        <w:ind w:right="-567"/>
        <w:jc w:val="both"/>
      </w:pPr>
      <w:r w:rsidRPr="00E907F6">
        <w:t xml:space="preserve">2.   </w:t>
      </w:r>
      <w:proofErr w:type="spellStart"/>
      <w:r w:rsidRPr="00E907F6">
        <w:t>Leșanu</w:t>
      </w:r>
      <w:proofErr w:type="spellEnd"/>
      <w:r w:rsidRPr="00E907F6">
        <w:t xml:space="preserve"> Nadejda  </w:t>
      </w:r>
      <w:r w:rsidRPr="00E907F6">
        <w:tab/>
        <w:t xml:space="preserve"> </w:t>
      </w:r>
      <w:proofErr w:type="spellStart"/>
      <w:r w:rsidRPr="00E907F6">
        <w:t>-specialist</w:t>
      </w:r>
      <w:proofErr w:type="spellEnd"/>
      <w:r w:rsidRPr="00E907F6">
        <w:t xml:space="preserve"> principal, resurse umane,  secretar al Comisiei de concurs;</w:t>
      </w:r>
    </w:p>
    <w:p w:rsidR="004C58FD" w:rsidRPr="00E907F6" w:rsidRDefault="004C58FD" w:rsidP="004C58FD">
      <w:pPr>
        <w:ind w:right="-567"/>
        <w:jc w:val="both"/>
        <w:rPr>
          <w:b/>
          <w:i/>
        </w:rPr>
      </w:pPr>
      <w:r w:rsidRPr="00E907F6">
        <w:rPr>
          <w:b/>
          <w:i/>
        </w:rPr>
        <w:t xml:space="preserve">         Membrii Comisiei:</w:t>
      </w:r>
    </w:p>
    <w:p w:rsidR="004C58FD" w:rsidRPr="00E907F6" w:rsidRDefault="004C58FD" w:rsidP="004C58FD">
      <w:pPr>
        <w:ind w:right="-567"/>
        <w:jc w:val="both"/>
      </w:pPr>
      <w:r w:rsidRPr="00E907F6">
        <w:t xml:space="preserve">3.    </w:t>
      </w:r>
      <w:r w:rsidRPr="00E907F6">
        <w:tab/>
      </w:r>
      <w:r w:rsidRPr="00E907F6">
        <w:tab/>
        <w:t xml:space="preserve">   </w:t>
      </w:r>
      <w:r w:rsidRPr="00E907F6">
        <w:tab/>
        <w:t>- consilier al consiliului raional;</w:t>
      </w:r>
    </w:p>
    <w:p w:rsidR="004C58FD" w:rsidRPr="00E907F6" w:rsidRDefault="004C58FD" w:rsidP="004C58FD">
      <w:pPr>
        <w:ind w:right="-567"/>
        <w:jc w:val="both"/>
      </w:pPr>
      <w:r w:rsidRPr="00E907F6">
        <w:t xml:space="preserve">4.   </w:t>
      </w:r>
      <w:r w:rsidRPr="00E907F6">
        <w:tab/>
      </w:r>
      <w:r w:rsidRPr="00E907F6">
        <w:tab/>
        <w:t xml:space="preserve">            – consilier al consiliului raional;</w:t>
      </w:r>
    </w:p>
    <w:p w:rsidR="004C58FD" w:rsidRPr="00E907F6" w:rsidRDefault="004C58FD" w:rsidP="004C58FD">
      <w:pPr>
        <w:ind w:right="-567"/>
        <w:jc w:val="both"/>
      </w:pPr>
      <w:r w:rsidRPr="00E907F6">
        <w:t xml:space="preserve">5.  </w:t>
      </w:r>
      <w:r w:rsidRPr="00E907F6">
        <w:tab/>
      </w:r>
      <w:r w:rsidRPr="00E907F6">
        <w:tab/>
      </w:r>
      <w:r w:rsidRPr="00E907F6">
        <w:tab/>
        <w:t>-  consilier al consiliului raional;</w:t>
      </w:r>
    </w:p>
    <w:p w:rsidR="004C58FD" w:rsidRPr="00E907F6" w:rsidRDefault="004C58FD" w:rsidP="004C58FD">
      <w:pPr>
        <w:ind w:right="-567"/>
        <w:jc w:val="both"/>
      </w:pPr>
      <w:r w:rsidRPr="00E907F6">
        <w:t xml:space="preserve">6.  </w:t>
      </w:r>
      <w:proofErr w:type="spellStart"/>
      <w:r w:rsidRPr="00E907F6">
        <w:t>Vidrașco</w:t>
      </w:r>
      <w:proofErr w:type="spellEnd"/>
      <w:r w:rsidRPr="00E907F6">
        <w:t xml:space="preserve"> </w:t>
      </w:r>
      <w:proofErr w:type="spellStart"/>
      <w:r w:rsidRPr="00E907F6">
        <w:t>LIubovi</w:t>
      </w:r>
      <w:proofErr w:type="spellEnd"/>
      <w:r w:rsidRPr="00E907F6">
        <w:t xml:space="preserve"> </w:t>
      </w:r>
      <w:r w:rsidRPr="00E907F6">
        <w:tab/>
        <w:t>–</w:t>
      </w:r>
      <w:r>
        <w:t xml:space="preserve"> </w:t>
      </w:r>
      <w:r w:rsidRPr="00E907F6">
        <w:t xml:space="preserve">secretarul consiliului raional;                                              </w:t>
      </w:r>
    </w:p>
    <w:p w:rsidR="004C58FD" w:rsidRPr="00E907F6" w:rsidRDefault="004C58FD" w:rsidP="004C58FD">
      <w:pPr>
        <w:ind w:right="-567"/>
        <w:jc w:val="both"/>
      </w:pPr>
      <w:r w:rsidRPr="00E907F6">
        <w:t xml:space="preserve">7.  Vladimir </w:t>
      </w:r>
      <w:proofErr w:type="spellStart"/>
      <w:r w:rsidRPr="00E907F6">
        <w:t>Corețchi</w:t>
      </w:r>
      <w:proofErr w:type="spellEnd"/>
      <w:r w:rsidRPr="00E907F6">
        <w:t xml:space="preserve">  – specialist principal.                                               </w:t>
      </w:r>
    </w:p>
    <w:p w:rsidR="004C58FD" w:rsidRPr="00E907F6" w:rsidRDefault="004C58FD" w:rsidP="004C58FD">
      <w:r w:rsidRPr="00E907F6">
        <w:rPr>
          <w:b/>
          <w:i/>
        </w:rPr>
        <w:t>Membrii supleanţi</w:t>
      </w:r>
      <w:r w:rsidRPr="00E907F6">
        <w:t>:</w:t>
      </w:r>
    </w:p>
    <w:p w:rsidR="004C58FD" w:rsidRPr="00E907F6" w:rsidRDefault="004C58FD" w:rsidP="004C58FD">
      <w:pPr>
        <w:ind w:right="-567"/>
        <w:jc w:val="both"/>
      </w:pPr>
      <w:r w:rsidRPr="00E907F6">
        <w:t xml:space="preserve">8.  </w:t>
      </w:r>
      <w:r w:rsidRPr="00E907F6">
        <w:tab/>
      </w:r>
      <w:r w:rsidRPr="00E907F6">
        <w:tab/>
        <w:t xml:space="preserve">    </w:t>
      </w:r>
      <w:r w:rsidRPr="00E907F6">
        <w:tab/>
        <w:t>– consilier al consiliului raional;</w:t>
      </w:r>
    </w:p>
    <w:p w:rsidR="004C58FD" w:rsidRPr="00E907F6" w:rsidRDefault="004C58FD" w:rsidP="004C58FD">
      <w:pPr>
        <w:ind w:right="-567"/>
        <w:jc w:val="both"/>
      </w:pPr>
      <w:r w:rsidRPr="00E907F6">
        <w:t>9.                                 -  consilier al consiliului raional.</w:t>
      </w:r>
    </w:p>
    <w:p w:rsidR="004C58FD" w:rsidRPr="00E907F6" w:rsidRDefault="004C58FD" w:rsidP="004C58FD">
      <w:r w:rsidRPr="00E907F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8FD" w:rsidRPr="009D7F0B" w:rsidRDefault="004C58FD" w:rsidP="004C58FD">
      <w:pPr>
        <w:jc w:val="both"/>
      </w:pPr>
      <w:r w:rsidRPr="00E907F6">
        <w:t>II</w:t>
      </w:r>
      <w:r>
        <w:t>. Se  deleagă  dlui Nicolae Mîndru</w:t>
      </w:r>
      <w:r w:rsidRPr="009D7F0B">
        <w:t>, președintele raionului de a  aproba textul anunţului şi a informaţiei cu privire la condiţiile de desfăşurare a concursului pentru ocuparea funcţiilor publice  vacante din subordinea consiliului raional.</w:t>
      </w:r>
    </w:p>
    <w:p w:rsidR="004C58FD" w:rsidRPr="00E907F6" w:rsidRDefault="004C58FD" w:rsidP="004C58FD"/>
    <w:p w:rsidR="004C58FD" w:rsidRPr="00E907F6" w:rsidRDefault="004C58FD" w:rsidP="004C58FD">
      <w:r w:rsidRPr="00E907F6">
        <w:t>III. Controlul asupra executării prezentei decizii se pune în sarcina dlui Nicolae Mîndru, preşedintele raionului.</w:t>
      </w:r>
    </w:p>
    <w:p w:rsidR="004C58FD" w:rsidRPr="00E907F6" w:rsidRDefault="004C58FD" w:rsidP="004C58FD"/>
    <w:p w:rsidR="004C58FD" w:rsidRPr="00E907F6" w:rsidRDefault="004C58FD" w:rsidP="004C58FD"/>
    <w:p w:rsidR="004C58FD" w:rsidRPr="00E907F6" w:rsidRDefault="004C58FD" w:rsidP="004C58FD">
      <w:pPr>
        <w:ind w:left="720"/>
      </w:pPr>
    </w:p>
    <w:p w:rsidR="004C58FD" w:rsidRPr="00E907F6" w:rsidRDefault="004C58FD" w:rsidP="004C58FD">
      <w:pPr>
        <w:pStyle w:val="a8"/>
        <w:ind w:left="567" w:right="282" w:firstLine="0"/>
        <w:rPr>
          <w:rFonts w:ascii="Times New Roman" w:hAnsi="Times New Roman"/>
          <w:b/>
          <w:sz w:val="24"/>
          <w:szCs w:val="24"/>
        </w:rPr>
      </w:pPr>
      <w:r w:rsidRPr="00E907F6">
        <w:rPr>
          <w:rFonts w:ascii="Times New Roman" w:hAnsi="Times New Roman"/>
          <w:b/>
          <w:sz w:val="24"/>
          <w:szCs w:val="24"/>
        </w:rPr>
        <w:t>Secretarul Consiliului</w:t>
      </w:r>
      <w:r w:rsidRPr="00E907F6">
        <w:rPr>
          <w:rFonts w:ascii="Times New Roman" w:hAnsi="Times New Roman"/>
          <w:b/>
          <w:sz w:val="24"/>
          <w:szCs w:val="24"/>
        </w:rPr>
        <w:tab/>
      </w:r>
      <w:r w:rsidRPr="00E907F6">
        <w:rPr>
          <w:rFonts w:ascii="Times New Roman" w:hAnsi="Times New Roman"/>
          <w:b/>
          <w:sz w:val="24"/>
          <w:szCs w:val="24"/>
        </w:rPr>
        <w:tab/>
      </w:r>
      <w:r w:rsidRPr="00E907F6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</w:t>
      </w:r>
      <w:proofErr w:type="spellStart"/>
      <w:r w:rsidRPr="00E907F6">
        <w:rPr>
          <w:rFonts w:ascii="Times New Roman" w:hAnsi="Times New Roman"/>
          <w:b/>
          <w:sz w:val="24"/>
          <w:szCs w:val="24"/>
        </w:rPr>
        <w:t>L.Vidraşco</w:t>
      </w:r>
      <w:proofErr w:type="spellEnd"/>
    </w:p>
    <w:p w:rsidR="004C58FD" w:rsidRPr="00E907F6" w:rsidRDefault="004C58FD" w:rsidP="004C58FD">
      <w:pPr>
        <w:pStyle w:val="a8"/>
        <w:ind w:left="567" w:right="282" w:firstLine="0"/>
        <w:rPr>
          <w:rFonts w:ascii="Times New Roman" w:hAnsi="Times New Roman"/>
          <w:b/>
          <w:sz w:val="24"/>
          <w:szCs w:val="24"/>
        </w:rPr>
      </w:pPr>
      <w:r w:rsidRPr="00E907F6">
        <w:rPr>
          <w:rFonts w:ascii="Times New Roman" w:hAnsi="Times New Roman"/>
          <w:b/>
          <w:sz w:val="24"/>
          <w:szCs w:val="24"/>
        </w:rPr>
        <w:t>AVIZAT:</w:t>
      </w:r>
    </w:p>
    <w:p w:rsidR="004C58FD" w:rsidRPr="00E907F6" w:rsidRDefault="004C58FD" w:rsidP="004C58FD">
      <w:pPr>
        <w:pStyle w:val="a8"/>
        <w:ind w:left="567" w:right="282" w:firstLine="0"/>
        <w:rPr>
          <w:rFonts w:ascii="Times New Roman" w:hAnsi="Times New Roman"/>
          <w:b/>
          <w:sz w:val="24"/>
          <w:szCs w:val="24"/>
        </w:rPr>
      </w:pPr>
      <w:r w:rsidRPr="00E907F6">
        <w:rPr>
          <w:rFonts w:ascii="Times New Roman" w:hAnsi="Times New Roman"/>
          <w:b/>
          <w:sz w:val="24"/>
          <w:szCs w:val="24"/>
        </w:rPr>
        <w:t xml:space="preserve">Specialist principal în probleme juridice                                          </w:t>
      </w:r>
      <w:proofErr w:type="spellStart"/>
      <w:r w:rsidRPr="00E907F6">
        <w:rPr>
          <w:rFonts w:ascii="Times New Roman" w:hAnsi="Times New Roman"/>
          <w:b/>
          <w:sz w:val="24"/>
          <w:szCs w:val="24"/>
        </w:rPr>
        <w:t>V.Coreţchi</w:t>
      </w:r>
      <w:proofErr w:type="spellEnd"/>
      <w:r w:rsidRPr="00E907F6">
        <w:rPr>
          <w:rFonts w:ascii="Times New Roman" w:hAnsi="Times New Roman"/>
          <w:b/>
          <w:sz w:val="24"/>
          <w:szCs w:val="24"/>
        </w:rPr>
        <w:tab/>
      </w:r>
    </w:p>
    <w:p w:rsidR="004C58FD" w:rsidRPr="00E907F6" w:rsidRDefault="004C58FD" w:rsidP="004C58FD">
      <w:pPr>
        <w:pStyle w:val="a8"/>
        <w:ind w:left="567" w:right="282" w:firstLine="0"/>
        <w:rPr>
          <w:rFonts w:ascii="Times New Roman" w:hAnsi="Times New Roman"/>
          <w:sz w:val="24"/>
          <w:szCs w:val="24"/>
        </w:rPr>
      </w:pPr>
      <w:r w:rsidRPr="00E907F6">
        <w:rPr>
          <w:rFonts w:ascii="Times New Roman" w:hAnsi="Times New Roman"/>
          <w:b/>
          <w:sz w:val="24"/>
          <w:szCs w:val="24"/>
        </w:rPr>
        <w:t xml:space="preserve">Specialist principal în probleme resurse umane             </w:t>
      </w:r>
      <w:r w:rsidRPr="00E907F6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proofErr w:type="spellStart"/>
      <w:r w:rsidRPr="00E907F6">
        <w:rPr>
          <w:rFonts w:ascii="Times New Roman" w:hAnsi="Times New Roman"/>
          <w:b/>
          <w:sz w:val="24"/>
          <w:szCs w:val="24"/>
        </w:rPr>
        <w:t>N.Leşanu</w:t>
      </w:r>
      <w:proofErr w:type="spellEnd"/>
    </w:p>
    <w:p w:rsidR="004C58FD" w:rsidRPr="00E907F6" w:rsidRDefault="004C58FD" w:rsidP="004C58FD"/>
    <w:p w:rsidR="004C58FD" w:rsidRPr="00E907F6" w:rsidRDefault="004C58FD" w:rsidP="004C58FD"/>
    <w:p w:rsidR="004C58FD" w:rsidRPr="00E907F6" w:rsidRDefault="004C58FD" w:rsidP="004C58FD">
      <w:pPr>
        <w:tabs>
          <w:tab w:val="left" w:pos="884"/>
          <w:tab w:val="left" w:pos="1196"/>
        </w:tabs>
        <w:jc w:val="center"/>
        <w:rPr>
          <w:rFonts w:eastAsia="Calibri"/>
          <w:b/>
          <w:lang w:val="ro-MO"/>
        </w:rPr>
      </w:pPr>
      <w:r w:rsidRPr="00E907F6">
        <w:rPr>
          <w:rFonts w:eastAsia="Calibri"/>
          <w:b/>
        </w:rPr>
        <w:t xml:space="preserve">Nota informativa </w:t>
      </w:r>
    </w:p>
    <w:p w:rsidR="004C58FD" w:rsidRPr="00E907F6" w:rsidRDefault="004C58FD" w:rsidP="004C58FD">
      <w:pPr>
        <w:tabs>
          <w:tab w:val="left" w:pos="884"/>
          <w:tab w:val="left" w:pos="1196"/>
        </w:tabs>
        <w:jc w:val="center"/>
        <w:rPr>
          <w:b/>
        </w:rPr>
      </w:pPr>
      <w:r w:rsidRPr="00E907F6">
        <w:rPr>
          <w:rFonts w:eastAsia="Calibri"/>
          <w:b/>
        </w:rPr>
        <w:t xml:space="preserve">la proiectul </w:t>
      </w:r>
      <w:r w:rsidRPr="00E907F6">
        <w:rPr>
          <w:b/>
        </w:rPr>
        <w:t xml:space="preserve"> deciziei „Cu privire la instituirea  comisiei de concurs pentru funcțiile publice de conducere din subordinea consiliului raional ”</w:t>
      </w:r>
    </w:p>
    <w:p w:rsidR="004C58FD" w:rsidRPr="00E907F6" w:rsidRDefault="004C58FD" w:rsidP="004C58FD">
      <w:pPr>
        <w:tabs>
          <w:tab w:val="left" w:pos="884"/>
          <w:tab w:val="left" w:pos="1196"/>
        </w:tabs>
        <w:jc w:val="center"/>
        <w:rPr>
          <w:rFonts w:eastAsia="Calibri"/>
          <w:b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5"/>
      </w:tblGrid>
      <w:tr w:rsidR="004C58FD" w:rsidRPr="00E907F6" w:rsidTr="0080092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FD" w:rsidRPr="00E907F6" w:rsidRDefault="004C58FD" w:rsidP="00800920">
            <w:pPr>
              <w:tabs>
                <w:tab w:val="left" w:pos="884"/>
                <w:tab w:val="left" w:pos="1196"/>
              </w:tabs>
              <w:ind w:firstLine="540"/>
              <w:jc w:val="both"/>
              <w:rPr>
                <w:rFonts w:eastAsia="Calibri"/>
                <w:bCs/>
                <w:lang w:eastAsia="en-US"/>
              </w:rPr>
            </w:pPr>
            <w:r w:rsidRPr="00E907F6">
              <w:rPr>
                <w:rFonts w:eastAsia="Calibri"/>
                <w:lang w:eastAsia="en-US"/>
              </w:rPr>
              <w:t>1</w:t>
            </w:r>
            <w:r w:rsidRPr="00E907F6">
              <w:rPr>
                <w:rFonts w:eastAsia="Calibri"/>
                <w:b/>
                <w:lang w:eastAsia="en-US"/>
              </w:rPr>
              <w:t xml:space="preserve">. Denumirea autorului şi, după caz, </w:t>
            </w:r>
            <w:r w:rsidRPr="00E907F6">
              <w:rPr>
                <w:rFonts w:eastAsia="Calibri"/>
                <w:b/>
                <w:bCs/>
                <w:lang w:eastAsia="en-US"/>
              </w:rPr>
              <w:t>a participanţilor la elaborarea proiectului</w:t>
            </w:r>
          </w:p>
          <w:p w:rsidR="004C58FD" w:rsidRPr="00E907F6" w:rsidRDefault="004C58FD" w:rsidP="00800920">
            <w:pPr>
              <w:tabs>
                <w:tab w:val="left" w:pos="284"/>
                <w:tab w:val="left" w:pos="1196"/>
              </w:tabs>
              <w:jc w:val="both"/>
              <w:rPr>
                <w:rFonts w:eastAsia="Calibri"/>
                <w:lang w:eastAsia="en-US"/>
              </w:rPr>
            </w:pPr>
            <w:r w:rsidRPr="00E907F6">
              <w:rPr>
                <w:rFonts w:eastAsia="Calibri"/>
                <w:lang w:eastAsia="en-US"/>
              </w:rPr>
              <w:t xml:space="preserve">   Consiliul Raional Șoldănești, aparatul președintelui raionului, subdiviziunea resurse umane.</w:t>
            </w:r>
          </w:p>
        </w:tc>
      </w:tr>
      <w:tr w:rsidR="004C58FD" w:rsidRPr="00E907F6" w:rsidTr="0080092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FD" w:rsidRPr="00E907F6" w:rsidRDefault="004C58FD" w:rsidP="0080092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C58FD" w:rsidRPr="00E907F6" w:rsidTr="0080092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FD" w:rsidRPr="00E907F6" w:rsidRDefault="004C58FD" w:rsidP="00800920">
            <w:pPr>
              <w:tabs>
                <w:tab w:val="left" w:pos="884"/>
                <w:tab w:val="left" w:pos="1196"/>
              </w:tabs>
              <w:ind w:firstLine="540"/>
              <w:jc w:val="both"/>
              <w:rPr>
                <w:rFonts w:eastAsia="Calibri"/>
                <w:b/>
                <w:lang w:eastAsia="en-US"/>
              </w:rPr>
            </w:pPr>
            <w:r w:rsidRPr="00E907F6">
              <w:rPr>
                <w:rFonts w:eastAsia="Calibri"/>
                <w:lang w:eastAsia="en-US"/>
              </w:rPr>
              <w:t xml:space="preserve">2. </w:t>
            </w:r>
            <w:r w:rsidRPr="00E907F6">
              <w:rPr>
                <w:rFonts w:eastAsia="Calibri"/>
                <w:b/>
                <w:lang w:eastAsia="en-US"/>
              </w:rPr>
              <w:t xml:space="preserve">Condiţiile ce au impus elaborarea proiectului actului normativ şi finalităţile urmărite </w:t>
            </w:r>
          </w:p>
          <w:p w:rsidR="004C58FD" w:rsidRPr="00E907F6" w:rsidRDefault="004C58FD" w:rsidP="00800920">
            <w:pPr>
              <w:jc w:val="both"/>
            </w:pPr>
            <w:r w:rsidRPr="00E907F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907F6">
              <w:rPr>
                <w:lang w:val="en-US"/>
              </w:rPr>
              <w:t>În</w:t>
            </w:r>
            <w:proofErr w:type="spellEnd"/>
            <w:r w:rsidRPr="00E907F6">
              <w:rPr>
                <w:lang w:val="en-US"/>
              </w:rPr>
              <w:t xml:space="preserve"> </w:t>
            </w:r>
            <w:proofErr w:type="spellStart"/>
            <w:r w:rsidRPr="00E907F6">
              <w:rPr>
                <w:lang w:val="en-US"/>
              </w:rPr>
              <w:t>temeiul</w:t>
            </w:r>
            <w:proofErr w:type="spellEnd"/>
            <w:r w:rsidRPr="00E907F6">
              <w:rPr>
                <w:lang w:val="en-US"/>
              </w:rPr>
              <w:t xml:space="preserve"> art. 29 din </w:t>
            </w:r>
            <w:proofErr w:type="spellStart"/>
            <w:r w:rsidRPr="00E907F6">
              <w:rPr>
                <w:lang w:val="en-US"/>
              </w:rPr>
              <w:t>Legea</w:t>
            </w:r>
            <w:proofErr w:type="spellEnd"/>
            <w:r w:rsidRPr="00E907F6">
              <w:rPr>
                <w:lang w:val="en-US"/>
              </w:rPr>
              <w:t xml:space="preserve"> nr.158-XVI din 04.07.2008 cu </w:t>
            </w:r>
            <w:proofErr w:type="spellStart"/>
            <w:r w:rsidRPr="00E907F6">
              <w:rPr>
                <w:lang w:val="en-US"/>
              </w:rPr>
              <w:t>privire</w:t>
            </w:r>
            <w:proofErr w:type="spellEnd"/>
            <w:r w:rsidRPr="00E907F6">
              <w:rPr>
                <w:lang w:val="en-US"/>
              </w:rPr>
              <w:t xml:space="preserve"> la </w:t>
            </w:r>
            <w:proofErr w:type="spellStart"/>
            <w:r w:rsidRPr="00E907F6">
              <w:rPr>
                <w:lang w:val="en-US"/>
              </w:rPr>
              <w:t>funcția</w:t>
            </w:r>
            <w:proofErr w:type="spellEnd"/>
            <w:r w:rsidRPr="00E907F6">
              <w:rPr>
                <w:lang w:val="en-US"/>
              </w:rPr>
              <w:t xml:space="preserve"> </w:t>
            </w:r>
            <w:proofErr w:type="spellStart"/>
            <w:r w:rsidRPr="00E907F6">
              <w:rPr>
                <w:lang w:val="en-US"/>
              </w:rPr>
              <w:t>publică</w:t>
            </w:r>
            <w:proofErr w:type="spellEnd"/>
            <w:r w:rsidRPr="00E907F6">
              <w:rPr>
                <w:lang w:val="en-US"/>
              </w:rPr>
              <w:t xml:space="preserve"> </w:t>
            </w:r>
            <w:proofErr w:type="spellStart"/>
            <w:r w:rsidRPr="00E907F6">
              <w:rPr>
                <w:lang w:val="en-US"/>
              </w:rPr>
              <w:t>și</w:t>
            </w:r>
            <w:proofErr w:type="spellEnd"/>
            <w:r w:rsidRPr="00E907F6">
              <w:rPr>
                <w:lang w:val="en-US"/>
              </w:rPr>
              <w:t xml:space="preserve"> </w:t>
            </w:r>
            <w:proofErr w:type="spellStart"/>
            <w:r w:rsidRPr="00E907F6">
              <w:rPr>
                <w:lang w:val="en-US"/>
              </w:rPr>
              <w:t>statutul</w:t>
            </w:r>
            <w:proofErr w:type="spellEnd"/>
            <w:r w:rsidRPr="00E907F6">
              <w:rPr>
                <w:lang w:val="en-US"/>
              </w:rPr>
              <w:t xml:space="preserve"> </w:t>
            </w:r>
            <w:proofErr w:type="spellStart"/>
            <w:r w:rsidRPr="00E907F6">
              <w:rPr>
                <w:lang w:val="en-US"/>
              </w:rPr>
              <w:t>funcționarului</w:t>
            </w:r>
            <w:proofErr w:type="spellEnd"/>
            <w:r w:rsidRPr="00E907F6">
              <w:rPr>
                <w:lang w:val="en-US"/>
              </w:rPr>
              <w:t xml:space="preserve"> public, </w:t>
            </w:r>
            <w:r w:rsidRPr="00E907F6">
              <w:t xml:space="preserve">art.54 alin.4 al </w:t>
            </w:r>
            <w:proofErr w:type="spellStart"/>
            <w:r w:rsidRPr="00E907F6">
              <w:t>Hotărîrii</w:t>
            </w:r>
            <w:proofErr w:type="spellEnd"/>
            <w:r w:rsidRPr="00E907F6">
              <w:t xml:space="preserve"> Guvernului RM  nr.201 din 11.03.2009 </w:t>
            </w:r>
            <w:r>
              <w:t xml:space="preserve"> </w:t>
            </w:r>
            <w:r w:rsidRPr="00E907F6">
              <w:t>Regulamentul cu privire la ocuparea funcţiilor publice vacante prin concurs se constituie comisia de concurs pentru funcţiile pub</w:t>
            </w:r>
            <w:r>
              <w:t xml:space="preserve">lice de conducere </w:t>
            </w:r>
            <w:r w:rsidRPr="00E907F6">
              <w:t xml:space="preserve"> din subordinea Consiliului rai</w:t>
            </w:r>
            <w:r>
              <w:t xml:space="preserve">onal. Prevederile art.48-49 al  Regulamentului nominalizat  permite  ca atribuțiile </w:t>
            </w:r>
            <w:r w:rsidRPr="009D7F0B">
              <w:t>de a  aproba textul anunţului şi a informaţiei cu privire la condiţiile de desfăşurare a concursului pentru ocuparea funcţiilor publice  vacante din subordinea consiliului rai</w:t>
            </w:r>
            <w:r>
              <w:t>onal să fie delegate conducătorului executiv al autorității publice în cauză.</w:t>
            </w:r>
          </w:p>
        </w:tc>
      </w:tr>
      <w:tr w:rsidR="004C58FD" w:rsidRPr="00E907F6" w:rsidTr="0080092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FD" w:rsidRPr="00E907F6" w:rsidRDefault="004C58FD" w:rsidP="0080092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C58FD" w:rsidRPr="00E907F6" w:rsidTr="0080092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FD" w:rsidRPr="00E907F6" w:rsidRDefault="004C58FD" w:rsidP="0080092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eastAsia="en-US"/>
              </w:rPr>
            </w:pPr>
            <w:r w:rsidRPr="00E907F6">
              <w:rPr>
                <w:rFonts w:eastAsia="Calibri"/>
                <w:lang w:eastAsia="en-US"/>
              </w:rPr>
              <w:t xml:space="preserve">3. </w:t>
            </w:r>
            <w:r w:rsidRPr="00E907F6">
              <w:rPr>
                <w:rFonts w:eastAsia="Calibri"/>
                <w:b/>
                <w:lang w:eastAsia="en-US"/>
              </w:rPr>
              <w:t>Descrierea gradului de compatibilitate pentru proiectele care au ca scop armonizarea legislaţiei naţionale cu legislaţia Uniunii Europene</w:t>
            </w:r>
          </w:p>
          <w:p w:rsidR="004C58FD" w:rsidRPr="00E907F6" w:rsidRDefault="004C58FD" w:rsidP="0080092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eastAsia="en-US"/>
              </w:rPr>
            </w:pPr>
            <w:r w:rsidRPr="00E907F6">
              <w:rPr>
                <w:rFonts w:eastAsia="Calibri"/>
                <w:lang w:eastAsia="en-US"/>
              </w:rPr>
              <w:t xml:space="preserve"> Elaborarea proiectului  de decizie are grad de compatibilitate  ce ține de legislația similară existentă  în  statele membre ale Uniunii  Europene.</w:t>
            </w:r>
          </w:p>
        </w:tc>
      </w:tr>
      <w:tr w:rsidR="004C58FD" w:rsidRPr="00E907F6" w:rsidTr="0080092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FD" w:rsidRPr="00E907F6" w:rsidRDefault="004C58FD" w:rsidP="0080092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C58FD" w:rsidRPr="00E907F6" w:rsidTr="0080092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FD" w:rsidRPr="00E907F6" w:rsidRDefault="004C58FD" w:rsidP="0080092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eastAsia="en-US"/>
              </w:rPr>
            </w:pPr>
            <w:r w:rsidRPr="00E907F6">
              <w:rPr>
                <w:rFonts w:eastAsia="Calibri"/>
                <w:lang w:eastAsia="en-US"/>
              </w:rPr>
              <w:t>4</w:t>
            </w:r>
            <w:r w:rsidRPr="00E907F6">
              <w:rPr>
                <w:rFonts w:eastAsia="Calibri"/>
                <w:b/>
                <w:lang w:eastAsia="en-US"/>
              </w:rPr>
              <w:t>.  Principalele prevederi ale proiectului şi evidenţierea elementelor noi</w:t>
            </w:r>
          </w:p>
          <w:p w:rsidR="004C58FD" w:rsidRPr="00E907F6" w:rsidRDefault="004C58FD" w:rsidP="00800920">
            <w:pPr>
              <w:spacing w:line="360" w:lineRule="auto"/>
              <w:jc w:val="both"/>
            </w:pPr>
            <w:r w:rsidRPr="00E907F6">
              <w:rPr>
                <w:rFonts w:eastAsia="Calibri"/>
                <w:lang w:eastAsia="en-US"/>
              </w:rPr>
              <w:t xml:space="preserve"> </w:t>
            </w:r>
            <w:r w:rsidRPr="00E907F6">
              <w:t>Comisia de concurs se constituie pe o perioadă nu mai mare de 4 ani, din 5-7 membri, inclusiv preşedinte, secretar, precum şi din 2 membri supleanţi.</w:t>
            </w:r>
          </w:p>
          <w:p w:rsidR="004C58FD" w:rsidRPr="00E907F6" w:rsidRDefault="004C58FD" w:rsidP="00800920">
            <w:pPr>
              <w:spacing w:line="360" w:lineRule="auto"/>
              <w:jc w:val="both"/>
            </w:pPr>
            <w:r w:rsidRPr="00E907F6">
              <w:t xml:space="preserve">Din momentul apariţiei funcţiilor publice vacante </w:t>
            </w:r>
            <w:r>
              <w:t xml:space="preserve">și ocuparea acestora </w:t>
            </w:r>
            <w:r w:rsidRPr="00E907F6">
              <w:t>din subordinea CR se necesită constituirea comisiei nominalizate.</w:t>
            </w:r>
          </w:p>
        </w:tc>
      </w:tr>
      <w:tr w:rsidR="004C58FD" w:rsidRPr="00E907F6" w:rsidTr="0080092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FD" w:rsidRPr="00E907F6" w:rsidRDefault="004C58FD" w:rsidP="0080092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eastAsia="en-US"/>
              </w:rPr>
            </w:pPr>
            <w:r w:rsidRPr="00E907F6">
              <w:rPr>
                <w:rFonts w:eastAsia="Calibri"/>
                <w:lang w:eastAsia="en-US"/>
              </w:rPr>
              <w:t xml:space="preserve">5. </w:t>
            </w:r>
            <w:r w:rsidRPr="00E907F6">
              <w:rPr>
                <w:rFonts w:eastAsia="Calibri"/>
                <w:b/>
                <w:lang w:eastAsia="en-US"/>
              </w:rPr>
              <w:t>Fundamentarea economico-financiară</w:t>
            </w:r>
          </w:p>
          <w:p w:rsidR="004C58FD" w:rsidRPr="00E907F6" w:rsidRDefault="004C58FD" w:rsidP="0080092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eastAsia="en-US"/>
              </w:rPr>
            </w:pPr>
            <w:r w:rsidRPr="00E907F6">
              <w:rPr>
                <w:rFonts w:eastAsia="Calibri"/>
                <w:lang w:eastAsia="en-US"/>
              </w:rPr>
              <w:t xml:space="preserve"> </w:t>
            </w:r>
            <w:r w:rsidRPr="00E907F6">
              <w:rPr>
                <w:rFonts w:eastAsia="Calibri"/>
                <w:lang w:val="ro-MO" w:eastAsia="en-US"/>
              </w:rPr>
              <w:t xml:space="preserve">Nu necesită </w:t>
            </w:r>
            <w:r w:rsidRPr="00E907F6">
              <w:rPr>
                <w:rFonts w:eastAsia="Calibri"/>
                <w:lang w:eastAsia="en-US"/>
              </w:rPr>
              <w:t>fundamentare</w:t>
            </w:r>
            <w:r w:rsidRPr="00E907F6">
              <w:rPr>
                <w:rFonts w:eastAsia="Calibri"/>
                <w:lang w:val="ro-MO" w:eastAsia="en-US"/>
              </w:rPr>
              <w:t>e</w:t>
            </w:r>
            <w:r w:rsidRPr="00E907F6">
              <w:rPr>
                <w:rFonts w:eastAsia="Calibri"/>
                <w:lang w:eastAsia="en-US"/>
              </w:rPr>
              <w:t xml:space="preserve"> economico-financiară</w:t>
            </w:r>
            <w:r w:rsidRPr="00E907F6">
              <w:rPr>
                <w:lang w:eastAsia="en-US"/>
              </w:rPr>
              <w:t>.</w:t>
            </w:r>
          </w:p>
        </w:tc>
      </w:tr>
      <w:tr w:rsidR="004C58FD" w:rsidRPr="00E907F6" w:rsidTr="0080092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FD" w:rsidRPr="00E907F6" w:rsidRDefault="004C58FD" w:rsidP="0080092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C58FD" w:rsidRPr="00E907F6" w:rsidTr="0080092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FD" w:rsidRPr="00E907F6" w:rsidRDefault="004C58FD" w:rsidP="0080092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b/>
                <w:lang w:val="ro-MO" w:eastAsia="en-US"/>
              </w:rPr>
            </w:pPr>
            <w:r w:rsidRPr="00E907F6">
              <w:rPr>
                <w:rFonts w:eastAsia="Calibri"/>
                <w:lang w:eastAsia="en-US"/>
              </w:rPr>
              <w:t xml:space="preserve">6. </w:t>
            </w:r>
            <w:r w:rsidRPr="00E907F6">
              <w:rPr>
                <w:rFonts w:eastAsia="Calibri"/>
                <w:b/>
                <w:lang w:eastAsia="en-US"/>
              </w:rPr>
              <w:t xml:space="preserve">Modul de încorporare a actului în cadrul normativ în </w:t>
            </w:r>
            <w:proofErr w:type="spellStart"/>
            <w:r w:rsidRPr="00E907F6">
              <w:rPr>
                <w:rFonts w:eastAsia="Calibri"/>
                <w:b/>
                <w:lang w:eastAsia="en-US"/>
              </w:rPr>
              <w:t>vigoar</w:t>
            </w:r>
            <w:proofErr w:type="spellEnd"/>
            <w:r w:rsidRPr="00E907F6">
              <w:rPr>
                <w:rFonts w:eastAsia="Calibri"/>
                <w:b/>
                <w:lang w:val="ro-MO" w:eastAsia="en-US"/>
              </w:rPr>
              <w:t>e</w:t>
            </w:r>
          </w:p>
          <w:p w:rsidR="004C58FD" w:rsidRPr="00E907F6" w:rsidRDefault="004C58FD" w:rsidP="0080092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 w:rsidRPr="00E907F6">
              <w:rPr>
                <w:rFonts w:eastAsia="Calibri"/>
                <w:lang w:val="ro-MO" w:eastAsia="en-US"/>
              </w:rPr>
              <w:t>Organizarea și desfășurarea concursurilor pentru ocuparea funcțiilor publice vacante.</w:t>
            </w:r>
          </w:p>
        </w:tc>
      </w:tr>
      <w:tr w:rsidR="004C58FD" w:rsidRPr="00E907F6" w:rsidTr="0080092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FD" w:rsidRPr="00E907F6" w:rsidRDefault="004C58FD" w:rsidP="0080092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C58FD" w:rsidRPr="00E907F6" w:rsidTr="0080092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FD" w:rsidRPr="00E907F6" w:rsidRDefault="004C58FD" w:rsidP="0080092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eastAsia="en-US"/>
              </w:rPr>
            </w:pPr>
            <w:r w:rsidRPr="00E907F6">
              <w:rPr>
                <w:rFonts w:eastAsia="Calibri"/>
                <w:lang w:eastAsia="en-US"/>
              </w:rPr>
              <w:t xml:space="preserve">7. </w:t>
            </w:r>
            <w:r w:rsidRPr="00E907F6">
              <w:rPr>
                <w:rFonts w:eastAsia="Calibri"/>
                <w:b/>
                <w:lang w:eastAsia="en-US"/>
              </w:rPr>
              <w:t>Avizarea şi consultarea publică a proiectului</w:t>
            </w:r>
          </w:p>
          <w:p w:rsidR="004C58FD" w:rsidRPr="00E907F6" w:rsidRDefault="004C58FD" w:rsidP="0080092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eastAsia="en-US"/>
              </w:rPr>
            </w:pPr>
            <w:r w:rsidRPr="00E907F6">
              <w:rPr>
                <w:rFonts w:eastAsia="Calibri"/>
                <w:lang w:eastAsia="en-US"/>
              </w:rPr>
              <w:t>Secretarul Consiliului raional Șoldănești va asigura   consultarea publică a proiectului de decizie.</w:t>
            </w:r>
          </w:p>
          <w:p w:rsidR="004C58FD" w:rsidRPr="00E907F6" w:rsidRDefault="004C58FD" w:rsidP="0080092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bCs/>
                <w:lang w:eastAsia="en-US"/>
              </w:rPr>
            </w:pPr>
            <w:r w:rsidRPr="00E907F6">
              <w:rPr>
                <w:rFonts w:eastAsia="Calibri"/>
                <w:lang w:eastAsia="en-US"/>
              </w:rPr>
              <w:t xml:space="preserve">Subdiviziunea juridică  </w:t>
            </w:r>
            <w:r w:rsidRPr="00E907F6">
              <w:rPr>
                <w:rFonts w:eastAsia="Calibri"/>
                <w:bCs/>
                <w:lang w:eastAsia="en-US"/>
              </w:rPr>
              <w:t xml:space="preserve">a avizat pozitiv proiectul fără obiecţii şi propuneri. </w:t>
            </w:r>
          </w:p>
          <w:p w:rsidR="004C58FD" w:rsidRPr="00E907F6" w:rsidRDefault="004C58FD" w:rsidP="0080092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4C58FD" w:rsidRPr="00E907F6" w:rsidRDefault="004C58FD" w:rsidP="004C58FD">
      <w:pPr>
        <w:rPr>
          <w:lang w:val="en-US"/>
        </w:rPr>
      </w:pPr>
    </w:p>
    <w:p w:rsidR="004C58FD" w:rsidRPr="00E907F6" w:rsidRDefault="004C58FD" w:rsidP="004C58FD"/>
    <w:p w:rsidR="004C58FD" w:rsidRPr="00E907F6" w:rsidRDefault="004C58FD" w:rsidP="004C58FD"/>
    <w:p w:rsidR="00263474" w:rsidRPr="004C58FD" w:rsidRDefault="00263474" w:rsidP="004C58FD"/>
    <w:sectPr w:rsidR="00263474" w:rsidRPr="004C58FD" w:rsidSect="002634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$ Pragmatica">
    <w:altName w:val="Arial Narrow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AB9"/>
    <w:rsid w:val="000F764E"/>
    <w:rsid w:val="001D48F0"/>
    <w:rsid w:val="00210DB6"/>
    <w:rsid w:val="00263474"/>
    <w:rsid w:val="004119A5"/>
    <w:rsid w:val="004C58FD"/>
    <w:rsid w:val="005B7963"/>
    <w:rsid w:val="007C554D"/>
    <w:rsid w:val="009C0E97"/>
    <w:rsid w:val="00A81CA0"/>
    <w:rsid w:val="00AA2AB9"/>
    <w:rsid w:val="00BB7E6A"/>
    <w:rsid w:val="00E2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BB7E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B7E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7E6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B7E6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B7E6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B7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B7E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BB7E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rsid w:val="00BB7E6A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3">
    <w:name w:val="No Spacing"/>
    <w:uiPriority w:val="1"/>
    <w:qFormat/>
    <w:rsid w:val="00BB7E6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BB7E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5">
    <w:name w:val="Hyperlink"/>
    <w:rsid w:val="00AA2A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2A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AB9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8">
    <w:name w:val="Block Text"/>
    <w:basedOn w:val="a"/>
    <w:rsid w:val="00A81CA0"/>
    <w:pPr>
      <w:ind w:left="709" w:right="565" w:firstLine="567"/>
      <w:jc w:val="both"/>
    </w:pPr>
    <w:rPr>
      <w:rFonts w:ascii="$ Pragmatica" w:hAnsi="$ Pragmatic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iliu@soldanesti.md" TargetMode="External"/><Relationship Id="rId5" Type="http://schemas.openxmlformats.org/officeDocument/2006/relationships/hyperlink" Target="mailto:consiliu@soldanesti.md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2020-01-14T14:43:00Z</dcterms:created>
  <dcterms:modified xsi:type="dcterms:W3CDTF">2020-01-15T09:55:00Z</dcterms:modified>
</cp:coreProperties>
</file>